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62AB0A" w14:textId="77777777" w:rsidR="005B10E6" w:rsidRDefault="005B10E6" w:rsidP="005B10E6">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494C4E"/>
          <w:spacing w:val="3"/>
          <w:bdr w:val="none" w:sz="0" w:space="0" w:color="auto" w:frame="1"/>
        </w:rPr>
        <w:t>“Workers, owners, managers, stockholders and consumers are moral agents in economic life.  By our choices, initiative, creativity and investment, we enhance or diminish economic opportunity, community life and social justice.”</w:t>
      </w:r>
    </w:p>
    <w:p w14:paraId="294854BC" w14:textId="77777777" w:rsidR="005B10E6" w:rsidRDefault="005B10E6" w:rsidP="005B10E6">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494C4E"/>
          <w:spacing w:val="3"/>
          <w:bdr w:val="none" w:sz="0" w:space="0" w:color="auto" w:frame="1"/>
        </w:rPr>
        <w:t> </w:t>
      </w:r>
    </w:p>
    <w:p w14:paraId="56E76951" w14:textId="77777777" w:rsidR="005B10E6" w:rsidRDefault="005B10E6" w:rsidP="005B10E6">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xml:space="preserve">Moral development is a process starting with the self, followed by “the self as relational” (Abram, 2007, p74). The second step in moral development is virtue ethics which requires participation in order to develop reasoning and understand “relational nature” (Abram, 2007, p74). Relational ethics focuses on the individual and how they interact with others; in this case, the other stakeholders (Creed, </w:t>
      </w:r>
      <w:proofErr w:type="spellStart"/>
      <w:r>
        <w:rPr>
          <w:color w:val="494C4E"/>
          <w:spacing w:val="3"/>
          <w:bdr w:val="none" w:sz="0" w:space="0" w:color="auto" w:frame="1"/>
        </w:rPr>
        <w:t>Zutshi</w:t>
      </w:r>
      <w:proofErr w:type="spellEnd"/>
      <w:r>
        <w:rPr>
          <w:color w:val="494C4E"/>
          <w:spacing w:val="3"/>
          <w:bdr w:val="none" w:sz="0" w:space="0" w:color="auto" w:frame="1"/>
        </w:rPr>
        <w:t>, &amp; Ross, 2009). Once an individual has reached the point at which they have developed the ability to determine what action is the moral action, they are considered a moral agent Abram, 2007, p74).</w:t>
      </w:r>
    </w:p>
    <w:p w14:paraId="06C02B09" w14:textId="77777777" w:rsidR="005B10E6" w:rsidRDefault="005B10E6" w:rsidP="005B10E6">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xml:space="preserve">The economy is a network of financial transactions; constantly ebbing and flowing with the interactions of users and the fluctuations of the goods supplied and the goods demanded (Li, Liu, Fang, Z, &amp; Chen, 2012). Transactions occur on a basic level because one party has a need and another party can supply that need. All users are stakeholders in the success of the economy, whether impacted directly or indirectly by a transaction (Creed, </w:t>
      </w:r>
      <w:proofErr w:type="spellStart"/>
      <w:r>
        <w:rPr>
          <w:color w:val="494C4E"/>
          <w:spacing w:val="3"/>
          <w:bdr w:val="none" w:sz="0" w:space="0" w:color="auto" w:frame="1"/>
        </w:rPr>
        <w:t>Zutshi</w:t>
      </w:r>
      <w:proofErr w:type="spellEnd"/>
      <w:r>
        <w:rPr>
          <w:color w:val="494C4E"/>
          <w:spacing w:val="3"/>
          <w:bdr w:val="none" w:sz="0" w:space="0" w:color="auto" w:frame="1"/>
        </w:rPr>
        <w:t xml:space="preserve">, &amp; Ross, 2009). Systems theory connects each of the stakeholders through transactions and organizations (Creed, </w:t>
      </w:r>
      <w:proofErr w:type="spellStart"/>
      <w:r>
        <w:rPr>
          <w:color w:val="494C4E"/>
          <w:spacing w:val="3"/>
          <w:bdr w:val="none" w:sz="0" w:space="0" w:color="auto" w:frame="1"/>
        </w:rPr>
        <w:t>Zutshi</w:t>
      </w:r>
      <w:proofErr w:type="spellEnd"/>
      <w:r>
        <w:rPr>
          <w:color w:val="494C4E"/>
          <w:spacing w:val="3"/>
          <w:bdr w:val="none" w:sz="0" w:space="0" w:color="auto" w:frame="1"/>
        </w:rPr>
        <w:t>, &amp; Ross, 2009). This system of economics is so eloquently described in “I, Pencil” by Leonard Reed (2002), who describes the genealogy of a simple number 2 pencil.  He starts with the tree and the numerous people and equipment required to cut the tree down, including the mining of ore in order to create the equipment.  Then the wood needs to be shipped to the millworks to be further reduced in size, then transported again to the pencil factory with its “$4,000,000 in machinery and building” (Reed, 2002, p61).  This genealogy has already included many companies and stakeholders, and the pencil has not even be created yet.</w:t>
      </w:r>
    </w:p>
    <w:p w14:paraId="153FAD3F" w14:textId="77777777" w:rsidR="005B10E6" w:rsidRDefault="005B10E6" w:rsidP="005B10E6">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xml:space="preserve">While the transaction itself may be inanimate, the behavior behind it is not.  The transaction may be reliant on need satisfaction, the want for profit, or some altruistic reason (Creed, </w:t>
      </w:r>
      <w:proofErr w:type="spellStart"/>
      <w:r>
        <w:rPr>
          <w:color w:val="494C4E"/>
          <w:spacing w:val="3"/>
          <w:bdr w:val="none" w:sz="0" w:space="0" w:color="auto" w:frame="1"/>
        </w:rPr>
        <w:t>Zutshi</w:t>
      </w:r>
      <w:proofErr w:type="spellEnd"/>
      <w:r>
        <w:rPr>
          <w:color w:val="494C4E"/>
          <w:spacing w:val="3"/>
          <w:bdr w:val="none" w:sz="0" w:space="0" w:color="auto" w:frame="1"/>
        </w:rPr>
        <w:t xml:space="preserve">, &amp; Ross, 2009). Values, norms, and acceptable behavior in transactions and trust in those transactions are at the heart of relations, whether they be social or transactional </w:t>
      </w:r>
      <w:r>
        <w:rPr>
          <w:color w:val="494C4E"/>
          <w:spacing w:val="3"/>
          <w:bdr w:val="none" w:sz="0" w:space="0" w:color="auto" w:frame="1"/>
        </w:rPr>
        <w:lastRenderedPageBreak/>
        <w:t xml:space="preserve">(Creed, </w:t>
      </w:r>
      <w:proofErr w:type="spellStart"/>
      <w:r>
        <w:rPr>
          <w:color w:val="494C4E"/>
          <w:spacing w:val="3"/>
          <w:bdr w:val="none" w:sz="0" w:space="0" w:color="auto" w:frame="1"/>
        </w:rPr>
        <w:t>Zutshi</w:t>
      </w:r>
      <w:proofErr w:type="spellEnd"/>
      <w:r>
        <w:rPr>
          <w:color w:val="494C4E"/>
          <w:spacing w:val="3"/>
          <w:bdr w:val="none" w:sz="0" w:space="0" w:color="auto" w:frame="1"/>
        </w:rPr>
        <w:t xml:space="preserve">, &amp; Ross, 2009).  There is a reliance on mutual concern for the end result in the exchange (Creed, </w:t>
      </w:r>
      <w:proofErr w:type="spellStart"/>
      <w:r>
        <w:rPr>
          <w:color w:val="494C4E"/>
          <w:spacing w:val="3"/>
          <w:bdr w:val="none" w:sz="0" w:space="0" w:color="auto" w:frame="1"/>
        </w:rPr>
        <w:t>Zutshi</w:t>
      </w:r>
      <w:proofErr w:type="spellEnd"/>
      <w:r>
        <w:rPr>
          <w:color w:val="494C4E"/>
          <w:spacing w:val="3"/>
          <w:bdr w:val="none" w:sz="0" w:space="0" w:color="auto" w:frame="1"/>
        </w:rPr>
        <w:t>, &amp; Ross, 2009). The economy requires the active contribution of stakeholders as users and value creators (</w:t>
      </w:r>
      <w:proofErr w:type="spellStart"/>
      <w:r>
        <w:rPr>
          <w:color w:val="494C4E"/>
          <w:spacing w:val="3"/>
          <w:bdr w:val="none" w:sz="0" w:space="0" w:color="auto" w:frame="1"/>
        </w:rPr>
        <w:t>Bourgon</w:t>
      </w:r>
      <w:proofErr w:type="spellEnd"/>
      <w:r>
        <w:rPr>
          <w:color w:val="494C4E"/>
          <w:spacing w:val="3"/>
          <w:bdr w:val="none" w:sz="0" w:space="0" w:color="auto" w:frame="1"/>
        </w:rPr>
        <w:t>, &amp; Queen's University, 2011). Active citizenry and a civic spirit encourage collective action (</w:t>
      </w:r>
      <w:proofErr w:type="spellStart"/>
      <w:r>
        <w:rPr>
          <w:color w:val="494C4E"/>
          <w:spacing w:val="3"/>
          <w:bdr w:val="none" w:sz="0" w:space="0" w:color="auto" w:frame="1"/>
        </w:rPr>
        <w:t>Bourgon</w:t>
      </w:r>
      <w:proofErr w:type="spellEnd"/>
      <w:r>
        <w:rPr>
          <w:color w:val="494C4E"/>
          <w:spacing w:val="3"/>
          <w:bdr w:val="none" w:sz="0" w:space="0" w:color="auto" w:frame="1"/>
        </w:rPr>
        <w:t>, &amp; Queen's University, 2011). We have shared access to choices within the economy and a shared responsibility to it (</w:t>
      </w:r>
      <w:proofErr w:type="spellStart"/>
      <w:r>
        <w:rPr>
          <w:color w:val="494C4E"/>
          <w:spacing w:val="3"/>
          <w:bdr w:val="none" w:sz="0" w:space="0" w:color="auto" w:frame="1"/>
        </w:rPr>
        <w:t>Bourgon</w:t>
      </w:r>
      <w:proofErr w:type="spellEnd"/>
      <w:r>
        <w:rPr>
          <w:color w:val="494C4E"/>
          <w:spacing w:val="3"/>
          <w:bdr w:val="none" w:sz="0" w:space="0" w:color="auto" w:frame="1"/>
        </w:rPr>
        <w:t>, &amp; Queen's University, 2011).  This interconnectedness requires all stakeholders, as moral agents, to act deontologically; it is in the best interest of all involved to be ethical in transacting commerce. </w:t>
      </w:r>
    </w:p>
    <w:p w14:paraId="46E60D79" w14:textId="77777777" w:rsidR="005B10E6" w:rsidRDefault="005B10E6" w:rsidP="005B10E6">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494C4E"/>
          <w:spacing w:val="3"/>
          <w:bdr w:val="none" w:sz="0" w:space="0" w:color="auto" w:frame="1"/>
        </w:rPr>
        <w:t> </w:t>
      </w:r>
    </w:p>
    <w:p w14:paraId="029FAEA8" w14:textId="77777777" w:rsidR="005B10E6" w:rsidRDefault="005B10E6" w:rsidP="005B10E6">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494C4E"/>
          <w:spacing w:val="3"/>
          <w:bdr w:val="none" w:sz="0" w:space="0" w:color="auto" w:frame="1"/>
        </w:rPr>
        <w:t> </w:t>
      </w:r>
    </w:p>
    <w:p w14:paraId="42FC1263" w14:textId="77777777" w:rsidR="005B10E6" w:rsidRDefault="005B10E6" w:rsidP="005B10E6">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494C4E"/>
          <w:spacing w:val="3"/>
          <w:bdr w:val="none" w:sz="0" w:space="0" w:color="auto" w:frame="1"/>
        </w:rPr>
        <w:t> </w:t>
      </w:r>
    </w:p>
    <w:p w14:paraId="5B5A3203" w14:textId="77777777" w:rsidR="005B10E6" w:rsidRDefault="005B10E6" w:rsidP="005B10E6">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494C4E"/>
          <w:spacing w:val="3"/>
          <w:bdr w:val="none" w:sz="0" w:space="0" w:color="auto" w:frame="1"/>
        </w:rPr>
        <w:t> </w:t>
      </w:r>
    </w:p>
    <w:p w14:paraId="2E3D89F6" w14:textId="77777777" w:rsidR="005B10E6" w:rsidRDefault="005B10E6" w:rsidP="005B10E6">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494C4E"/>
          <w:spacing w:val="3"/>
          <w:bdr w:val="none" w:sz="0" w:space="0" w:color="auto" w:frame="1"/>
        </w:rPr>
        <w:t> </w:t>
      </w:r>
    </w:p>
    <w:p w14:paraId="09E2794A" w14:textId="77777777" w:rsidR="005B10E6" w:rsidRDefault="005B10E6" w:rsidP="005B10E6">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494C4E"/>
          <w:spacing w:val="3"/>
          <w:bdr w:val="none" w:sz="0" w:space="0" w:color="auto" w:frame="1"/>
        </w:rPr>
        <w:t> </w:t>
      </w:r>
    </w:p>
    <w:p w14:paraId="5053B3F8" w14:textId="77777777" w:rsidR="005B10E6" w:rsidRDefault="005B10E6" w:rsidP="005B10E6">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494C4E"/>
          <w:spacing w:val="3"/>
          <w:bdr w:val="none" w:sz="0" w:space="0" w:color="auto" w:frame="1"/>
        </w:rPr>
        <w:t> </w:t>
      </w:r>
    </w:p>
    <w:p w14:paraId="362C11C1" w14:textId="77777777" w:rsidR="005B10E6" w:rsidRDefault="005B10E6" w:rsidP="005B10E6">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494C4E"/>
          <w:spacing w:val="3"/>
          <w:bdr w:val="none" w:sz="0" w:space="0" w:color="auto" w:frame="1"/>
        </w:rPr>
        <w:t> </w:t>
      </w:r>
    </w:p>
    <w:p w14:paraId="53B1D8BA" w14:textId="77777777" w:rsidR="005B10E6" w:rsidRDefault="005B10E6" w:rsidP="005B10E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 xml:space="preserve">Abram, A. (Spring, 2007). The Philosophy of Moral Development. Forum </w:t>
      </w:r>
      <w:proofErr w:type="spellStart"/>
      <w:r>
        <w:rPr>
          <w:color w:val="494C4E"/>
          <w:spacing w:val="3"/>
          <w:bdr w:val="none" w:sz="0" w:space="0" w:color="auto" w:frame="1"/>
        </w:rPr>
        <w:t>Philosophicum</w:t>
      </w:r>
      <w:proofErr w:type="spellEnd"/>
      <w:r>
        <w:rPr>
          <w:color w:val="494C4E"/>
          <w:spacing w:val="3"/>
          <w:bdr w:val="none" w:sz="0" w:space="0" w:color="auto" w:frame="1"/>
        </w:rPr>
        <w:t>: International Journal for Philosophy, 12(1), 71-86.</w:t>
      </w:r>
    </w:p>
    <w:p w14:paraId="68D43993" w14:textId="77777777" w:rsidR="005B10E6" w:rsidRDefault="005B10E6" w:rsidP="005B10E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Li, C., Liu, S., Fang, Z., &amp; Chen, Y. (2012). Emergence of structural properties in economic networks: A multi-local-world evolving model. </w:t>
      </w:r>
      <w:r>
        <w:rPr>
          <w:i/>
          <w:iCs/>
          <w:color w:val="494C4E"/>
          <w:spacing w:val="3"/>
          <w:bdr w:val="none" w:sz="0" w:space="0" w:color="auto" w:frame="1"/>
        </w:rPr>
        <w:t>Simulation Modelling Practice and Theory,</w:t>
      </w:r>
      <w:r>
        <w:rPr>
          <w:color w:val="494C4E"/>
          <w:spacing w:val="3"/>
          <w:bdr w:val="none" w:sz="0" w:space="0" w:color="auto" w:frame="1"/>
        </w:rPr>
        <w:t> </w:t>
      </w:r>
      <w:r>
        <w:rPr>
          <w:i/>
          <w:iCs/>
          <w:color w:val="494C4E"/>
          <w:spacing w:val="3"/>
          <w:bdr w:val="none" w:sz="0" w:space="0" w:color="auto" w:frame="1"/>
        </w:rPr>
        <w:t>21</w:t>
      </w:r>
      <w:r>
        <w:rPr>
          <w:color w:val="494C4E"/>
          <w:spacing w:val="3"/>
          <w:bdr w:val="none" w:sz="0" w:space="0" w:color="auto" w:frame="1"/>
        </w:rPr>
        <w:t>(1), 91-102. doi:10.1016/j.simpat.2011.10.006</w:t>
      </w:r>
    </w:p>
    <w:p w14:paraId="30B1ACB9" w14:textId="77777777" w:rsidR="005B10E6" w:rsidRDefault="005B10E6" w:rsidP="005B10E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proofErr w:type="spellStart"/>
      <w:r>
        <w:rPr>
          <w:color w:val="494C4E"/>
          <w:spacing w:val="3"/>
          <w:bdr w:val="none" w:sz="0" w:space="0" w:color="auto" w:frame="1"/>
        </w:rPr>
        <w:t>Bourgon</w:t>
      </w:r>
      <w:proofErr w:type="spellEnd"/>
      <w:r>
        <w:rPr>
          <w:color w:val="494C4E"/>
          <w:spacing w:val="3"/>
          <w:bdr w:val="none" w:sz="0" w:space="0" w:color="auto" w:frame="1"/>
        </w:rPr>
        <w:t>, J., &amp; Queen's University (Kingston, Ont.). School of Policy Studies. (2011). </w:t>
      </w:r>
      <w:r>
        <w:rPr>
          <w:i/>
          <w:iCs/>
          <w:color w:val="494C4E"/>
          <w:spacing w:val="3"/>
          <w:bdr w:val="none" w:sz="0" w:space="0" w:color="auto" w:frame="1"/>
        </w:rPr>
        <w:t>A new synthesis of public administration: Serving in the 21st century</w:t>
      </w:r>
      <w:r>
        <w:rPr>
          <w:color w:val="494C4E"/>
          <w:spacing w:val="3"/>
          <w:bdr w:val="none" w:sz="0" w:space="0" w:color="auto" w:frame="1"/>
        </w:rPr>
        <w:t> (Queen's policy studies series, v. 81). Montreal: McGill-Queen's University. (2011). Retrieved September 23, 2019, from Saint Leo University Cannon Memorial Library.</w:t>
      </w:r>
    </w:p>
    <w:p w14:paraId="2B3BF366" w14:textId="77777777" w:rsidR="005B10E6" w:rsidRDefault="005B10E6" w:rsidP="005B10E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 xml:space="preserve">Creed, A., </w:t>
      </w:r>
      <w:proofErr w:type="spellStart"/>
      <w:r>
        <w:rPr>
          <w:color w:val="494C4E"/>
          <w:spacing w:val="3"/>
          <w:bdr w:val="none" w:sz="0" w:space="0" w:color="auto" w:frame="1"/>
        </w:rPr>
        <w:t>Zutshi</w:t>
      </w:r>
      <w:proofErr w:type="spellEnd"/>
      <w:r>
        <w:rPr>
          <w:color w:val="494C4E"/>
          <w:spacing w:val="3"/>
          <w:bdr w:val="none" w:sz="0" w:space="0" w:color="auto" w:frame="1"/>
        </w:rPr>
        <w:t>, A., &amp; Ross, J. (2009). Relational ethics in global commerce. </w:t>
      </w:r>
      <w:r>
        <w:rPr>
          <w:i/>
          <w:iCs/>
          <w:color w:val="494C4E"/>
          <w:spacing w:val="3"/>
          <w:bdr w:val="none" w:sz="0" w:space="0" w:color="auto" w:frame="1"/>
        </w:rPr>
        <w:t>Journal of Electronic Commerce in Organizations,</w:t>
      </w:r>
      <w:r>
        <w:rPr>
          <w:color w:val="494C4E"/>
          <w:spacing w:val="3"/>
          <w:bdr w:val="none" w:sz="0" w:space="0" w:color="auto" w:frame="1"/>
        </w:rPr>
        <w:t> </w:t>
      </w:r>
      <w:r>
        <w:rPr>
          <w:i/>
          <w:iCs/>
          <w:color w:val="494C4E"/>
          <w:spacing w:val="3"/>
          <w:bdr w:val="none" w:sz="0" w:space="0" w:color="auto" w:frame="1"/>
        </w:rPr>
        <w:t>7</w:t>
      </w:r>
      <w:r>
        <w:rPr>
          <w:color w:val="494C4E"/>
          <w:spacing w:val="3"/>
          <w:bdr w:val="none" w:sz="0" w:space="0" w:color="auto" w:frame="1"/>
        </w:rPr>
        <w:t>(1), 35-49. doi:10.4018/jeco.2009010103</w:t>
      </w:r>
    </w:p>
    <w:p w14:paraId="35F560C1" w14:textId="77777777" w:rsidR="005B10E6" w:rsidRDefault="005B10E6" w:rsidP="005B10E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Read, L. E. (2002). I, Pencil. </w:t>
      </w:r>
      <w:r>
        <w:rPr>
          <w:i/>
          <w:iCs/>
          <w:color w:val="494C4E"/>
          <w:spacing w:val="3"/>
          <w:bdr w:val="none" w:sz="0" w:space="0" w:color="auto" w:frame="1"/>
        </w:rPr>
        <w:t>Policy</w:t>
      </w:r>
      <w:r>
        <w:rPr>
          <w:color w:val="494C4E"/>
          <w:spacing w:val="3"/>
          <w:bdr w:val="none" w:sz="0" w:space="0" w:color="auto" w:frame="1"/>
        </w:rPr>
        <w:t>, </w:t>
      </w:r>
      <w:r>
        <w:rPr>
          <w:i/>
          <w:iCs/>
          <w:color w:val="494C4E"/>
          <w:spacing w:val="3"/>
          <w:bdr w:val="none" w:sz="0" w:space="0" w:color="auto" w:frame="1"/>
        </w:rPr>
        <w:t>18</w:t>
      </w:r>
      <w:r>
        <w:rPr>
          <w:color w:val="494C4E"/>
          <w:spacing w:val="3"/>
          <w:bdr w:val="none" w:sz="0" w:space="0" w:color="auto" w:frame="1"/>
        </w:rPr>
        <w:t>(3), 61. Retrieved from http://search.ebscohost.com.saintleo.idm.oclc.org/login.aspx?direct=true&amp;db=bth&amp;AN=8637768&amp;site=ehost-live&amp;scope=site</w:t>
      </w:r>
    </w:p>
    <w:p w14:paraId="44657195"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Y0MjQyNLC0tDAzNjFS0lEKTi0uzszPAykwrAUA0mxKeSwAAAA="/>
  </w:docVars>
  <w:rsids>
    <w:rsidRoot w:val="005B10E6"/>
    <w:rsid w:val="005B10E6"/>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52BD4"/>
  <w15:chartTrackingRefBased/>
  <w15:docId w15:val="{3771A16C-7EBF-428C-9E8D-401A793B3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10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424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2019-09-25T21:40:00Z</dcterms:created>
  <dcterms:modified xsi:type="dcterms:W3CDTF">2019-09-25T21:40:00Z</dcterms:modified>
</cp:coreProperties>
</file>